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E9E" w:rsidRDefault="007E7E97" w:rsidP="007E7E97">
      <w:pPr>
        <w:spacing w:after="0"/>
        <w:jc w:val="center"/>
        <w:rPr>
          <w:rFonts w:asciiTheme="minorHAnsi" w:hAnsiTheme="minorHAnsi" w:cstheme="minorHAnsi"/>
          <w:b/>
          <w:bCs/>
          <w:lang w:val="pt-BR"/>
        </w:rPr>
      </w:pPr>
      <w:r w:rsidRPr="007E7E97">
        <w:rPr>
          <w:rFonts w:asciiTheme="minorHAnsi" w:hAnsiTheme="minorHAnsi" w:cstheme="minorHAnsi"/>
          <w:b/>
          <w:bCs/>
          <w:lang w:val="pt-BR"/>
        </w:rPr>
        <w:t>Informativo – Reforma tributária</w:t>
      </w:r>
    </w:p>
    <w:p w:rsidR="007E7E97" w:rsidRDefault="007E7E97" w:rsidP="007E7E97">
      <w:pPr>
        <w:spacing w:after="0"/>
        <w:jc w:val="center"/>
        <w:rPr>
          <w:rFonts w:asciiTheme="minorHAnsi" w:hAnsiTheme="minorHAnsi" w:cstheme="minorHAnsi"/>
          <w:b/>
          <w:bCs/>
          <w:lang w:val="pt-BR"/>
        </w:rPr>
      </w:pPr>
    </w:p>
    <w:p w:rsidR="007E7E97" w:rsidRDefault="007E7E97" w:rsidP="007E7E97">
      <w:pPr>
        <w:spacing w:after="0"/>
        <w:jc w:val="center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 xml:space="preserve">Grupo de Trabalho </w:t>
      </w:r>
      <w:r w:rsidR="00E51A38">
        <w:rPr>
          <w:rFonts w:asciiTheme="minorHAnsi" w:hAnsiTheme="minorHAnsi" w:cstheme="minorHAnsi"/>
          <w:b/>
          <w:bCs/>
          <w:lang w:val="pt-BR"/>
        </w:rPr>
        <w:t>apresenta relatório sobre a reforma tributária</w:t>
      </w:r>
    </w:p>
    <w:p w:rsidR="007E7E97" w:rsidRDefault="007E7E97" w:rsidP="007E7E97">
      <w:pPr>
        <w:spacing w:after="0"/>
        <w:rPr>
          <w:rFonts w:asciiTheme="minorHAnsi" w:hAnsiTheme="minorHAnsi" w:cstheme="minorHAnsi"/>
          <w:b/>
          <w:bCs/>
          <w:lang w:val="pt-BR"/>
        </w:rPr>
      </w:pPr>
    </w:p>
    <w:p w:rsidR="00D73599" w:rsidRDefault="00D73599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No dia 6/6/2023, o Deputado Aguinaldo Ribeiro, relator do Grupo de Trabalho destinado a analisar e debater a PEC n° 45/2019, apresentou relatório que sintetiza as principais recomendações para a reforma da tributação do consumo, bem como indica as diretrizes que serão consideradas no substitutivo a ser apresentado.</w:t>
      </w:r>
    </w:p>
    <w:p w:rsidR="00D73599" w:rsidRDefault="00D73599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7E7E97" w:rsidRDefault="00D73599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De acordo com a Câmara dos Deputados, a reforma deverá ser votada no início de julho, a partir do novo texto que incorporará as recomendações do relatório. Abaixo, apresentamos as principais conclusões e sugestões contidas no documento:</w:t>
      </w:r>
    </w:p>
    <w:p w:rsidR="00D73599" w:rsidRDefault="00D73599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D73599" w:rsidRPr="00D73599" w:rsidRDefault="00D73599" w:rsidP="00D73599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 w:rsidRPr="00D73599">
        <w:rPr>
          <w:rFonts w:asciiTheme="minorHAnsi" w:hAnsiTheme="minorHAnsi" w:cstheme="minorHAnsi"/>
          <w:b/>
          <w:bCs/>
          <w:lang w:val="pt-BR"/>
        </w:rPr>
        <w:t>1 – Adoção do IVA Dual</w:t>
      </w:r>
    </w:p>
    <w:p w:rsidR="00D73599" w:rsidRDefault="00D73599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490D06" w:rsidRDefault="00D73599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Grupo de Trabalho reconhece que o ideal é a existência de um único imposto sobre o consumo, com a competência compartilhada entre a União, Estados e Municípios. Contudo, foram apresentadas demandas </w:t>
      </w:r>
      <w:r w:rsidR="00490D06">
        <w:rPr>
          <w:rFonts w:asciiTheme="minorHAnsi" w:hAnsiTheme="minorHAnsi" w:cstheme="minorHAnsi"/>
          <w:lang w:val="pt-BR"/>
        </w:rPr>
        <w:t>para separação da gestão tributária da União em relação aos Estados e Municípios. Assim, será proposta a criação de 2 (dois) tributos: a Contribuição sobre Bens e Serviços (CBS), de competência da União, e o Imposto sobre Bens e Serviços</w:t>
      </w:r>
      <w:r w:rsidR="005212AC">
        <w:rPr>
          <w:rFonts w:asciiTheme="minorHAnsi" w:hAnsiTheme="minorHAnsi" w:cstheme="minorHAnsi"/>
          <w:lang w:val="pt-BR"/>
        </w:rPr>
        <w:t xml:space="preserve"> (IBS)</w:t>
      </w:r>
      <w:r w:rsidR="00490D06">
        <w:rPr>
          <w:rFonts w:asciiTheme="minorHAnsi" w:hAnsiTheme="minorHAnsi" w:cstheme="minorHAnsi"/>
          <w:lang w:val="pt-BR"/>
        </w:rPr>
        <w:t>, que ficará sob a gestão de Estados e Municípios.</w:t>
      </w:r>
    </w:p>
    <w:p w:rsidR="00E51A38" w:rsidRDefault="00E51A38" w:rsidP="00D73599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490D06" w:rsidRPr="00490D06" w:rsidRDefault="00490D06" w:rsidP="00D73599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 w:rsidRPr="00490D06">
        <w:rPr>
          <w:rFonts w:asciiTheme="minorHAnsi" w:hAnsiTheme="minorHAnsi" w:cstheme="minorHAnsi"/>
          <w:b/>
          <w:bCs/>
          <w:lang w:val="pt-BR"/>
        </w:rPr>
        <w:t>2 – Não cumulatividade</w:t>
      </w:r>
    </w:p>
    <w:p w:rsidR="00490D06" w:rsidRDefault="00490D06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490D06" w:rsidRDefault="00490D06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Grupo de Trabalho </w:t>
      </w:r>
      <w:r w:rsidR="00E51A38">
        <w:rPr>
          <w:rFonts w:asciiTheme="minorHAnsi" w:hAnsiTheme="minorHAnsi" w:cstheme="minorHAnsi"/>
          <w:lang w:val="pt-BR"/>
        </w:rPr>
        <w:t>p</w:t>
      </w:r>
      <w:r>
        <w:rPr>
          <w:rFonts w:asciiTheme="minorHAnsi" w:hAnsiTheme="minorHAnsi" w:cstheme="minorHAnsi"/>
          <w:lang w:val="pt-BR"/>
        </w:rPr>
        <w:t>ropõe</w:t>
      </w:r>
      <w:r w:rsidR="00E51A38" w:rsidRPr="00E51A38">
        <w:rPr>
          <w:rFonts w:asciiTheme="minorHAnsi" w:hAnsiTheme="minorHAnsi" w:cstheme="minorHAnsi"/>
          <w:lang w:val="pt-BR"/>
        </w:rPr>
        <w:t xml:space="preserve"> </w:t>
      </w:r>
      <w:r w:rsidR="00E51A38">
        <w:rPr>
          <w:rFonts w:asciiTheme="minorHAnsi" w:hAnsiTheme="minorHAnsi" w:cstheme="minorHAnsi"/>
          <w:lang w:val="pt-BR"/>
        </w:rPr>
        <w:t>uma não cumulatividade plena, que não limite o crédito aos insumos diretamente relacionados à atividade principal do contribuinte, o que é fundamental para a neutralidade tributária. Assim, recomenda a autorização à apuração do crédito a partir, inclusive, dos gastos ligados às funções administrativas da empresa.</w:t>
      </w:r>
    </w:p>
    <w:p w:rsidR="00490D06" w:rsidRDefault="00490D06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490D06" w:rsidRDefault="00490D06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Grupo de Trabalho também sugere a manutenção do direito ao crédito relativo às despesas incorridas independentemente da comprovação do efetivo pagamento do imposto pelo fornecedor. </w:t>
      </w:r>
      <w:r w:rsidR="00502F65">
        <w:rPr>
          <w:rFonts w:asciiTheme="minorHAnsi" w:hAnsiTheme="minorHAnsi" w:cstheme="minorHAnsi"/>
          <w:lang w:val="pt-BR"/>
        </w:rPr>
        <w:t>Essa é uma providência importante, pois impede a restrição ao legítimo direito ao crédito do adquirente em razão do descumprimento da legislação tributária por terceiros.</w:t>
      </w:r>
    </w:p>
    <w:p w:rsidR="00502F65" w:rsidRDefault="00502F65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502F65" w:rsidRDefault="00502F65" w:rsidP="00502F65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3</w:t>
      </w:r>
      <w:r w:rsidRPr="00490D06">
        <w:rPr>
          <w:rFonts w:asciiTheme="minorHAnsi" w:hAnsiTheme="minorHAnsi" w:cstheme="minorHAnsi"/>
          <w:b/>
          <w:bCs/>
          <w:lang w:val="pt-BR"/>
        </w:rPr>
        <w:t xml:space="preserve"> – </w:t>
      </w:r>
      <w:r>
        <w:rPr>
          <w:rFonts w:asciiTheme="minorHAnsi" w:hAnsiTheme="minorHAnsi" w:cstheme="minorHAnsi"/>
          <w:b/>
          <w:bCs/>
          <w:lang w:val="pt-BR"/>
        </w:rPr>
        <w:t>Alíquotas</w:t>
      </w:r>
    </w:p>
    <w:p w:rsidR="00502F65" w:rsidRDefault="00502F65" w:rsidP="00502F65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502F65" w:rsidRDefault="00502F65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Grupo de Trabalho reforça </w:t>
      </w:r>
      <w:r w:rsidR="005212AC">
        <w:rPr>
          <w:rFonts w:asciiTheme="minorHAnsi" w:hAnsiTheme="minorHAnsi" w:cstheme="minorHAnsi"/>
          <w:lang w:val="pt-BR"/>
        </w:rPr>
        <w:t>a importância da</w:t>
      </w:r>
      <w:r>
        <w:rPr>
          <w:rFonts w:asciiTheme="minorHAnsi" w:hAnsiTheme="minorHAnsi" w:cstheme="minorHAnsi"/>
          <w:lang w:val="pt-BR"/>
        </w:rPr>
        <w:t xml:space="preserve"> existência da menor quantidade possível de alíquotas diferenciadas. Recomenda, assim, a adoção de uma alíquota padrão, com a possibilidade, excepcional, de alíquotas distintas para determinados bens e serviços, mas sempre evitando suas aplicações para setores. Exemplos de bens e serviços que poderão ser beneficiados com alíquotas menores são: </w:t>
      </w:r>
      <w:r w:rsidRPr="00E51A38">
        <w:rPr>
          <w:rFonts w:asciiTheme="minorHAnsi" w:hAnsiTheme="minorHAnsi" w:cstheme="minorHAnsi"/>
          <w:b/>
          <w:bCs/>
          <w:lang w:val="pt-BR"/>
        </w:rPr>
        <w:t>(i)</w:t>
      </w:r>
      <w:r>
        <w:rPr>
          <w:rFonts w:asciiTheme="minorHAnsi" w:hAnsiTheme="minorHAnsi" w:cstheme="minorHAnsi"/>
          <w:lang w:val="pt-BR"/>
        </w:rPr>
        <w:t xml:space="preserve"> saúde; </w:t>
      </w:r>
      <w:r w:rsidRPr="00E51A38">
        <w:rPr>
          <w:rFonts w:asciiTheme="minorHAnsi" w:hAnsiTheme="minorHAnsi" w:cstheme="minorHAnsi"/>
          <w:b/>
          <w:bCs/>
          <w:lang w:val="pt-BR"/>
        </w:rPr>
        <w:t xml:space="preserve">(ii) </w:t>
      </w:r>
      <w:r>
        <w:rPr>
          <w:rFonts w:asciiTheme="minorHAnsi" w:hAnsiTheme="minorHAnsi" w:cstheme="minorHAnsi"/>
          <w:lang w:val="pt-BR"/>
        </w:rPr>
        <w:t xml:space="preserve">educação; </w:t>
      </w:r>
      <w:r w:rsidRPr="00E51A38">
        <w:rPr>
          <w:rFonts w:asciiTheme="minorHAnsi" w:hAnsiTheme="minorHAnsi" w:cstheme="minorHAnsi"/>
          <w:b/>
          <w:bCs/>
          <w:lang w:val="pt-BR"/>
        </w:rPr>
        <w:t>(iii)</w:t>
      </w:r>
      <w:r>
        <w:rPr>
          <w:rFonts w:asciiTheme="minorHAnsi" w:hAnsiTheme="minorHAnsi" w:cstheme="minorHAnsi"/>
          <w:lang w:val="pt-BR"/>
        </w:rPr>
        <w:t xml:space="preserve"> transporte público coletivo urbano, semiurbano e metropolitano e aviação regional; e </w:t>
      </w:r>
      <w:r w:rsidRPr="00E51A38">
        <w:rPr>
          <w:rFonts w:asciiTheme="minorHAnsi" w:hAnsiTheme="minorHAnsi" w:cstheme="minorHAnsi"/>
          <w:b/>
          <w:bCs/>
          <w:lang w:val="pt-BR"/>
        </w:rPr>
        <w:t>(iv)</w:t>
      </w:r>
      <w:r>
        <w:rPr>
          <w:rFonts w:asciiTheme="minorHAnsi" w:hAnsiTheme="minorHAnsi" w:cstheme="minorHAnsi"/>
          <w:lang w:val="pt-BR"/>
        </w:rPr>
        <w:t xml:space="preserve"> produção </w:t>
      </w:r>
      <w:r>
        <w:rPr>
          <w:rFonts w:asciiTheme="minorHAnsi" w:hAnsiTheme="minorHAnsi" w:cstheme="minorHAnsi"/>
          <w:lang w:val="pt-BR"/>
        </w:rPr>
        <w:lastRenderedPageBreak/>
        <w:t>rural. Também sugere a avaliação sobre a possibilidade de tratamento diferenciado para produtos da cesta básica.</w:t>
      </w:r>
    </w:p>
    <w:p w:rsidR="00502F65" w:rsidRDefault="00502F65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502F65" w:rsidRDefault="00502F65" w:rsidP="00D73599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 w:rsidRPr="00502F65">
        <w:rPr>
          <w:rFonts w:asciiTheme="minorHAnsi" w:hAnsiTheme="minorHAnsi" w:cstheme="minorHAnsi"/>
          <w:b/>
          <w:bCs/>
          <w:lang w:val="pt-BR"/>
        </w:rPr>
        <w:t>4 – Cashback</w:t>
      </w:r>
    </w:p>
    <w:p w:rsidR="00502F65" w:rsidRDefault="00502F65" w:rsidP="00D73599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502F65" w:rsidRDefault="00502F65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Grupo de Trabalho </w:t>
      </w:r>
      <w:r w:rsidR="005212AC">
        <w:rPr>
          <w:rFonts w:asciiTheme="minorHAnsi" w:hAnsiTheme="minorHAnsi" w:cstheme="minorHAnsi"/>
          <w:lang w:val="pt-BR"/>
        </w:rPr>
        <w:t>reconheceu</w:t>
      </w:r>
      <w:r>
        <w:rPr>
          <w:rFonts w:asciiTheme="minorHAnsi" w:hAnsiTheme="minorHAnsi" w:cstheme="minorHAnsi"/>
          <w:lang w:val="pt-BR"/>
        </w:rPr>
        <w:t xml:space="preserve"> </w:t>
      </w:r>
      <w:r w:rsidR="00E51A38">
        <w:rPr>
          <w:rFonts w:asciiTheme="minorHAnsi" w:hAnsiTheme="minorHAnsi" w:cstheme="minorHAnsi"/>
          <w:lang w:val="pt-BR"/>
        </w:rPr>
        <w:t>a importância da</w:t>
      </w:r>
      <w:r>
        <w:rPr>
          <w:rFonts w:asciiTheme="minorHAnsi" w:hAnsiTheme="minorHAnsi" w:cstheme="minorHAnsi"/>
          <w:lang w:val="pt-BR"/>
        </w:rPr>
        <w:t xml:space="preserve"> devolução de parte do imposto para as famílias de baixa renda, como medida para redução da regressividade tributária. Assim, foi estabelecida a recomendação da instituição do </w:t>
      </w:r>
      <w:r w:rsidRPr="00502F65">
        <w:rPr>
          <w:rFonts w:asciiTheme="minorHAnsi" w:hAnsiTheme="minorHAnsi" w:cstheme="minorHAnsi"/>
          <w:i/>
          <w:iCs/>
          <w:lang w:val="pt-BR"/>
        </w:rPr>
        <w:t>cashback</w:t>
      </w:r>
      <w:r>
        <w:rPr>
          <w:rFonts w:asciiTheme="minorHAnsi" w:hAnsiTheme="minorHAnsi" w:cstheme="minorHAnsi"/>
          <w:lang w:val="pt-BR"/>
        </w:rPr>
        <w:t>, mas a definição do público elegível para ser beneficiado foi postergada para outro momento.</w:t>
      </w: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5</w:t>
      </w:r>
      <w:r w:rsidRPr="00502F65">
        <w:rPr>
          <w:rFonts w:asciiTheme="minorHAnsi" w:hAnsiTheme="minorHAnsi" w:cstheme="minorHAnsi"/>
          <w:b/>
          <w:bCs/>
          <w:lang w:val="pt-BR"/>
        </w:rPr>
        <w:t xml:space="preserve"> – </w:t>
      </w:r>
      <w:r>
        <w:rPr>
          <w:rFonts w:asciiTheme="minorHAnsi" w:hAnsiTheme="minorHAnsi" w:cstheme="minorHAnsi"/>
          <w:b/>
          <w:bCs/>
          <w:lang w:val="pt-BR"/>
        </w:rPr>
        <w:t>Regimes tributários favorecidos</w:t>
      </w: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Grupo de Trabalho sugere a manutenção da Zona Franca de Manaus e do Simples Nacional. A Zona Franca duraria até </w:t>
      </w:r>
      <w:r w:rsidRPr="005212AC">
        <w:rPr>
          <w:rFonts w:asciiTheme="minorHAnsi" w:hAnsiTheme="minorHAnsi" w:cstheme="minorHAnsi"/>
          <w:b/>
          <w:bCs/>
          <w:lang w:val="pt-BR"/>
        </w:rPr>
        <w:t>2073</w:t>
      </w:r>
      <w:r>
        <w:rPr>
          <w:rFonts w:asciiTheme="minorHAnsi" w:hAnsiTheme="minorHAnsi" w:cstheme="minorHAnsi"/>
          <w:lang w:val="pt-BR"/>
        </w:rPr>
        <w:t xml:space="preserve">. Com relação ao Simples, com o objetivo de adequá-lo ao novo modelo, será estabelecida a faculdade </w:t>
      </w:r>
      <w:r w:rsidR="005212AC">
        <w:rPr>
          <w:rFonts w:asciiTheme="minorHAnsi" w:hAnsiTheme="minorHAnsi" w:cstheme="minorHAnsi"/>
          <w:lang w:val="pt-BR"/>
        </w:rPr>
        <w:t>do</w:t>
      </w:r>
      <w:r>
        <w:rPr>
          <w:rFonts w:asciiTheme="minorHAnsi" w:hAnsiTheme="minorHAnsi" w:cstheme="minorHAnsi"/>
          <w:lang w:val="pt-BR"/>
        </w:rPr>
        <w:t xml:space="preserve"> contribuinte para adotar dois modelos de recolhimento.</w:t>
      </w: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primeiro consiste na manutenção do recolhimento unificado de tributos, o que incluirá os novos tributos sobre o consumo. Nesse caso, será incluída autorização relativa à apuração de crédito pelos adquirentes de bens e serviços de empresas enquadradas no Simples. A medida é importante, pois evita que essas empresas sejam preteridas em relação às sociedades tributadas pelo modelo comum dos novos tributos sobre o consumo.  O segundo modelo é a alternativa </w:t>
      </w:r>
      <w:r w:rsidR="005212AC">
        <w:rPr>
          <w:rFonts w:asciiTheme="minorHAnsi" w:hAnsiTheme="minorHAnsi" w:cstheme="minorHAnsi"/>
          <w:lang w:val="pt-BR"/>
        </w:rPr>
        <w:t>de</w:t>
      </w:r>
      <w:r>
        <w:rPr>
          <w:rFonts w:asciiTheme="minorHAnsi" w:hAnsiTheme="minorHAnsi" w:cstheme="minorHAnsi"/>
          <w:lang w:val="pt-BR"/>
        </w:rPr>
        <w:t xml:space="preserve"> recolh</w:t>
      </w:r>
      <w:r w:rsidR="005212AC">
        <w:rPr>
          <w:rFonts w:asciiTheme="minorHAnsi" w:hAnsiTheme="minorHAnsi" w:cstheme="minorHAnsi"/>
          <w:lang w:val="pt-BR"/>
        </w:rPr>
        <w:t>imento</w:t>
      </w:r>
      <w:r>
        <w:rPr>
          <w:rFonts w:asciiTheme="minorHAnsi" w:hAnsiTheme="minorHAnsi" w:cstheme="minorHAnsi"/>
          <w:lang w:val="pt-BR"/>
        </w:rPr>
        <w:t xml:space="preserve"> </w:t>
      </w:r>
      <w:r w:rsidR="005212AC">
        <w:rPr>
          <w:rFonts w:asciiTheme="minorHAnsi" w:hAnsiTheme="minorHAnsi" w:cstheme="minorHAnsi"/>
          <w:lang w:val="pt-BR"/>
        </w:rPr>
        <w:t>d</w:t>
      </w:r>
      <w:r>
        <w:rPr>
          <w:rFonts w:asciiTheme="minorHAnsi" w:hAnsiTheme="minorHAnsi" w:cstheme="minorHAnsi"/>
          <w:lang w:val="pt-BR"/>
        </w:rPr>
        <w:t>o novo tributo conforme o regime normal de apuração, com a possibilidade de se beneficiar da não cumulatividade ampla, sem prejuízo de permanecer no regime simplificado para os demais tributos.</w:t>
      </w: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6</w:t>
      </w:r>
      <w:r w:rsidRPr="00502F65">
        <w:rPr>
          <w:rFonts w:asciiTheme="minorHAnsi" w:hAnsiTheme="minorHAnsi" w:cstheme="minorHAnsi"/>
          <w:b/>
          <w:bCs/>
          <w:lang w:val="pt-BR"/>
        </w:rPr>
        <w:t xml:space="preserve"> – </w:t>
      </w:r>
      <w:r>
        <w:rPr>
          <w:rFonts w:asciiTheme="minorHAnsi" w:hAnsiTheme="minorHAnsi" w:cstheme="minorHAnsi"/>
          <w:b/>
          <w:bCs/>
          <w:lang w:val="pt-BR"/>
        </w:rPr>
        <w:t>Outros regimes tributários específicos</w:t>
      </w: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A52AFB" w:rsidRDefault="00A52AFB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Grupo de Trabalho reconhece que alguns setores econômicos são incompatíveis </w:t>
      </w:r>
      <w:r w:rsidR="00727E5D">
        <w:rPr>
          <w:rFonts w:asciiTheme="minorHAnsi" w:hAnsiTheme="minorHAnsi" w:cstheme="minorHAnsi"/>
          <w:lang w:val="pt-BR"/>
        </w:rPr>
        <w:t xml:space="preserve">com </w:t>
      </w:r>
      <w:r>
        <w:rPr>
          <w:rFonts w:asciiTheme="minorHAnsi" w:hAnsiTheme="minorHAnsi" w:cstheme="minorHAnsi"/>
          <w:lang w:val="pt-BR"/>
        </w:rPr>
        <w:t>a tributação nos moldes da CBS e do IBS, pois suas peculiaridades dificultam a apuração tradicional a partir do confronto entre créditos e débitos.</w:t>
      </w:r>
      <w:r w:rsidR="00336F1E">
        <w:rPr>
          <w:rFonts w:asciiTheme="minorHAnsi" w:hAnsiTheme="minorHAnsi" w:cstheme="minorHAnsi"/>
          <w:lang w:val="pt-BR"/>
        </w:rPr>
        <w:t xml:space="preserve"> Operações com </w:t>
      </w:r>
      <w:r w:rsidR="00336F1E" w:rsidRPr="00727E5D">
        <w:rPr>
          <w:rFonts w:asciiTheme="minorHAnsi" w:hAnsiTheme="minorHAnsi" w:cstheme="minorHAnsi"/>
          <w:b/>
          <w:bCs/>
          <w:lang w:val="pt-BR"/>
        </w:rPr>
        <w:t>bens imóveis</w:t>
      </w:r>
      <w:r w:rsidR="00336F1E">
        <w:rPr>
          <w:rFonts w:asciiTheme="minorHAnsi" w:hAnsiTheme="minorHAnsi" w:cstheme="minorHAnsi"/>
          <w:lang w:val="pt-BR"/>
        </w:rPr>
        <w:t xml:space="preserve">, </w:t>
      </w:r>
      <w:r w:rsidR="00727E5D" w:rsidRPr="00727E5D">
        <w:rPr>
          <w:rFonts w:asciiTheme="minorHAnsi" w:hAnsiTheme="minorHAnsi" w:cstheme="minorHAnsi"/>
          <w:b/>
          <w:bCs/>
          <w:lang w:val="pt-BR"/>
        </w:rPr>
        <w:t>serviços</w:t>
      </w:r>
      <w:r w:rsidR="00336F1E" w:rsidRPr="00727E5D">
        <w:rPr>
          <w:rFonts w:asciiTheme="minorHAnsi" w:hAnsiTheme="minorHAnsi" w:cstheme="minorHAnsi"/>
          <w:b/>
          <w:bCs/>
          <w:lang w:val="pt-BR"/>
        </w:rPr>
        <w:t xml:space="preserve"> financeiros</w:t>
      </w:r>
      <w:r w:rsidR="00336F1E">
        <w:rPr>
          <w:rFonts w:asciiTheme="minorHAnsi" w:hAnsiTheme="minorHAnsi" w:cstheme="minorHAnsi"/>
          <w:lang w:val="pt-BR"/>
        </w:rPr>
        <w:t xml:space="preserve">, </w:t>
      </w:r>
      <w:r w:rsidR="00336F1E" w:rsidRPr="00727E5D">
        <w:rPr>
          <w:rFonts w:asciiTheme="minorHAnsi" w:hAnsiTheme="minorHAnsi" w:cstheme="minorHAnsi"/>
          <w:b/>
          <w:bCs/>
          <w:lang w:val="pt-BR"/>
        </w:rPr>
        <w:t>seguros</w:t>
      </w:r>
      <w:r w:rsidR="00336F1E">
        <w:rPr>
          <w:rFonts w:asciiTheme="minorHAnsi" w:hAnsiTheme="minorHAnsi" w:cstheme="minorHAnsi"/>
          <w:lang w:val="pt-BR"/>
        </w:rPr>
        <w:t xml:space="preserve">, </w:t>
      </w:r>
      <w:r w:rsidR="00336F1E" w:rsidRPr="00727E5D">
        <w:rPr>
          <w:rFonts w:asciiTheme="minorHAnsi" w:hAnsiTheme="minorHAnsi" w:cstheme="minorHAnsi"/>
          <w:b/>
          <w:bCs/>
          <w:lang w:val="pt-BR"/>
        </w:rPr>
        <w:t>cooperativas</w:t>
      </w:r>
      <w:r w:rsidR="00336F1E">
        <w:rPr>
          <w:rFonts w:asciiTheme="minorHAnsi" w:hAnsiTheme="minorHAnsi" w:cstheme="minorHAnsi"/>
          <w:lang w:val="pt-BR"/>
        </w:rPr>
        <w:t xml:space="preserve">, </w:t>
      </w:r>
      <w:r w:rsidR="00336F1E" w:rsidRPr="00727E5D">
        <w:rPr>
          <w:rFonts w:asciiTheme="minorHAnsi" w:hAnsiTheme="minorHAnsi" w:cstheme="minorHAnsi"/>
          <w:b/>
          <w:bCs/>
          <w:lang w:val="pt-BR"/>
        </w:rPr>
        <w:t>combustíveis</w:t>
      </w:r>
      <w:r w:rsidR="00336F1E">
        <w:rPr>
          <w:rFonts w:asciiTheme="minorHAnsi" w:hAnsiTheme="minorHAnsi" w:cstheme="minorHAnsi"/>
          <w:lang w:val="pt-BR"/>
        </w:rPr>
        <w:t xml:space="preserve"> e </w:t>
      </w:r>
      <w:r w:rsidR="00336F1E" w:rsidRPr="00727E5D">
        <w:rPr>
          <w:rFonts w:asciiTheme="minorHAnsi" w:hAnsiTheme="minorHAnsi" w:cstheme="minorHAnsi"/>
          <w:b/>
          <w:bCs/>
          <w:lang w:val="pt-BR"/>
        </w:rPr>
        <w:t>lubrificantes</w:t>
      </w:r>
      <w:r w:rsidR="00336F1E">
        <w:rPr>
          <w:rFonts w:asciiTheme="minorHAnsi" w:hAnsiTheme="minorHAnsi" w:cstheme="minorHAnsi"/>
          <w:lang w:val="pt-BR"/>
        </w:rPr>
        <w:t xml:space="preserve"> são exemplos de setores que </w:t>
      </w:r>
      <w:r w:rsidR="00727E5D">
        <w:rPr>
          <w:rFonts w:asciiTheme="minorHAnsi" w:hAnsiTheme="minorHAnsi" w:cstheme="minorHAnsi"/>
          <w:lang w:val="pt-BR"/>
        </w:rPr>
        <w:t>necessitarão</w:t>
      </w:r>
      <w:r w:rsidR="00336F1E">
        <w:rPr>
          <w:rFonts w:asciiTheme="minorHAnsi" w:hAnsiTheme="minorHAnsi" w:cstheme="minorHAnsi"/>
          <w:lang w:val="pt-BR"/>
        </w:rPr>
        <w:t xml:space="preserve"> de sistemas de apuração próprios.</w:t>
      </w: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7</w:t>
      </w:r>
      <w:r w:rsidRPr="00502F65">
        <w:rPr>
          <w:rFonts w:asciiTheme="minorHAnsi" w:hAnsiTheme="minorHAnsi" w:cstheme="minorHAnsi"/>
          <w:b/>
          <w:bCs/>
          <w:lang w:val="pt-BR"/>
        </w:rPr>
        <w:t xml:space="preserve"> – </w:t>
      </w:r>
      <w:r>
        <w:rPr>
          <w:rFonts w:asciiTheme="minorHAnsi" w:hAnsiTheme="minorHAnsi" w:cstheme="minorHAnsi"/>
          <w:b/>
          <w:bCs/>
          <w:lang w:val="pt-BR"/>
        </w:rPr>
        <w:t>Fundo de Desenvolvimento Regional</w:t>
      </w: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 tributação no destino, em substituição à tributação na origem, é premissa da reforma tributária. </w:t>
      </w:r>
      <w:r w:rsidR="00727E5D">
        <w:rPr>
          <w:rFonts w:asciiTheme="minorHAnsi" w:hAnsiTheme="minorHAnsi" w:cstheme="minorHAnsi"/>
          <w:lang w:val="pt-BR"/>
        </w:rPr>
        <w:t>A</w:t>
      </w:r>
      <w:r>
        <w:rPr>
          <w:rFonts w:asciiTheme="minorHAnsi" w:hAnsiTheme="minorHAnsi" w:cstheme="minorHAnsi"/>
          <w:lang w:val="pt-BR"/>
        </w:rPr>
        <w:t xml:space="preserve"> medida </w:t>
      </w:r>
      <w:r w:rsidR="00727E5D">
        <w:rPr>
          <w:rFonts w:asciiTheme="minorHAnsi" w:hAnsiTheme="minorHAnsi" w:cstheme="minorHAnsi"/>
          <w:lang w:val="pt-BR"/>
        </w:rPr>
        <w:t>contribuirá</w:t>
      </w:r>
      <w:r>
        <w:rPr>
          <w:rFonts w:asciiTheme="minorHAnsi" w:hAnsiTheme="minorHAnsi" w:cstheme="minorHAnsi"/>
          <w:lang w:val="pt-BR"/>
        </w:rPr>
        <w:t xml:space="preserve"> para o fim da guerra fiscal que, apesar de prejudicial para a economia, representa importante mecanismo de atração de investimentos para regiões menos favorecidas.</w:t>
      </w:r>
      <w:r w:rsidR="00727E5D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 xml:space="preserve">Com o objetivo de compensar essas regiões que serão prejudicadas pela tributação no destino, o Grupo de Trabalho propõe a criação do </w:t>
      </w:r>
      <w:r w:rsidRPr="00336F1E">
        <w:rPr>
          <w:rFonts w:asciiTheme="minorHAnsi" w:hAnsiTheme="minorHAnsi" w:cstheme="minorHAnsi"/>
          <w:lang w:val="pt-BR"/>
        </w:rPr>
        <w:t>Fundo de Desenvolvimento Regional</w:t>
      </w:r>
      <w:r>
        <w:rPr>
          <w:rFonts w:asciiTheme="minorHAnsi" w:hAnsiTheme="minorHAnsi" w:cstheme="minorHAnsi"/>
          <w:lang w:val="pt-BR"/>
        </w:rPr>
        <w:t xml:space="preserve">, </w:t>
      </w:r>
      <w:r w:rsidR="005212AC">
        <w:rPr>
          <w:rFonts w:asciiTheme="minorHAnsi" w:hAnsiTheme="minorHAnsi" w:cstheme="minorHAnsi"/>
          <w:lang w:val="pt-BR"/>
        </w:rPr>
        <w:t>que distribuirá</w:t>
      </w:r>
      <w:r>
        <w:rPr>
          <w:rFonts w:asciiTheme="minorHAnsi" w:hAnsiTheme="minorHAnsi" w:cstheme="minorHAnsi"/>
          <w:lang w:val="pt-BR"/>
        </w:rPr>
        <w:t xml:space="preserve"> recursos e financiar</w:t>
      </w:r>
      <w:r w:rsidR="005212AC">
        <w:rPr>
          <w:rFonts w:asciiTheme="minorHAnsi" w:hAnsiTheme="minorHAnsi" w:cstheme="minorHAnsi"/>
          <w:lang w:val="pt-BR"/>
        </w:rPr>
        <w:t>á</w:t>
      </w:r>
      <w:r>
        <w:rPr>
          <w:rFonts w:asciiTheme="minorHAnsi" w:hAnsiTheme="minorHAnsi" w:cstheme="minorHAnsi"/>
          <w:lang w:val="pt-BR"/>
        </w:rPr>
        <w:t xml:space="preserve"> projetos nessas regiões </w:t>
      </w:r>
      <w:r>
        <w:rPr>
          <w:rFonts w:asciiTheme="minorHAnsi" w:hAnsiTheme="minorHAnsi" w:cstheme="minorHAnsi"/>
          <w:lang w:val="pt-BR"/>
        </w:rPr>
        <w:lastRenderedPageBreak/>
        <w:t>afetadas. Os recursos para sua constituição serão obtidos, primordialmente, através da União.</w:t>
      </w: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 w:rsidRPr="00336F1E">
        <w:rPr>
          <w:rFonts w:asciiTheme="minorHAnsi" w:hAnsiTheme="minorHAnsi" w:cstheme="minorHAnsi"/>
          <w:b/>
          <w:bCs/>
          <w:lang w:val="pt-BR"/>
        </w:rPr>
        <w:t>8 – Benefícios de ICMS convalidados</w:t>
      </w: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Por meio da Lei Complementar n° 160/2017, benefícios fiscais de ICMS concedidos irregularmente foram convalidados até 2032. O Grupo de Trabalho propõe que esse prazo seja respeitado</w:t>
      </w:r>
      <w:r w:rsidR="00727E5D">
        <w:rPr>
          <w:rFonts w:asciiTheme="minorHAnsi" w:hAnsiTheme="minorHAnsi" w:cstheme="minorHAnsi"/>
          <w:lang w:val="pt-BR"/>
        </w:rPr>
        <w:t>.</w:t>
      </w:r>
      <w:r>
        <w:rPr>
          <w:rFonts w:asciiTheme="minorHAnsi" w:hAnsiTheme="minorHAnsi" w:cstheme="minorHAnsi"/>
          <w:lang w:val="pt-BR"/>
        </w:rPr>
        <w:t xml:space="preserve"> </w:t>
      </w:r>
      <w:r w:rsidR="00727E5D">
        <w:rPr>
          <w:rFonts w:asciiTheme="minorHAnsi" w:hAnsiTheme="minorHAnsi" w:cstheme="minorHAnsi"/>
          <w:lang w:val="pt-BR"/>
        </w:rPr>
        <w:t>O</w:t>
      </w:r>
      <w:r>
        <w:rPr>
          <w:rFonts w:asciiTheme="minorHAnsi" w:hAnsiTheme="minorHAnsi" w:cstheme="minorHAnsi"/>
          <w:lang w:val="pt-BR"/>
        </w:rPr>
        <w:t xml:space="preserve"> substitutivo a ser apresentado é que definirá, após discussão com os Governos Federal e estaduais, como isto ocorrerá.</w:t>
      </w: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336F1E" w:rsidRPr="00336F1E" w:rsidRDefault="00336F1E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 w:rsidRPr="00336F1E">
        <w:rPr>
          <w:rFonts w:asciiTheme="minorHAnsi" w:hAnsiTheme="minorHAnsi" w:cstheme="minorHAnsi"/>
          <w:b/>
          <w:bCs/>
          <w:lang w:val="pt-BR"/>
        </w:rPr>
        <w:t>9 – Imposto Seletivo</w:t>
      </w:r>
    </w:p>
    <w:p w:rsidR="00336F1E" w:rsidRDefault="00336F1E" w:rsidP="00336F1E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336F1E" w:rsidRDefault="00C541AA" w:rsidP="00336F1E">
      <w:pPr>
        <w:spacing w:after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Esse imposto servirá para desestimular o consumo de produtos que implicam externalidades negativas, a exemplo de bebidas alcoólicas, tabaco e combustíveis fósseis. Contudo, o Grupo de Trabalho optou por não restringir o rol de produtos ou serviços que deverão ser onerados pelo imposto seletivo. </w:t>
      </w:r>
      <w:r w:rsidR="00727E5D">
        <w:rPr>
          <w:rFonts w:asciiTheme="minorHAnsi" w:hAnsiTheme="minorHAnsi" w:cstheme="minorHAnsi"/>
          <w:lang w:val="pt-BR"/>
        </w:rPr>
        <w:t>O</w:t>
      </w:r>
      <w:r>
        <w:rPr>
          <w:rFonts w:asciiTheme="minorHAnsi" w:hAnsiTheme="minorHAnsi" w:cstheme="minorHAnsi"/>
          <w:lang w:val="pt-BR"/>
        </w:rPr>
        <w:t xml:space="preserve"> substitutivo deverá apresentar uma redação ampla, que delegará o detalhamento para a legislação infraconstitucional.</w:t>
      </w:r>
    </w:p>
    <w:p w:rsidR="00C541AA" w:rsidRDefault="00C541AA" w:rsidP="00336F1E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C541AA" w:rsidRDefault="00C541AA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  <w:r w:rsidRPr="00C541AA">
        <w:rPr>
          <w:rFonts w:asciiTheme="minorHAnsi" w:hAnsiTheme="minorHAnsi" w:cstheme="minorHAnsi"/>
          <w:b/>
          <w:bCs/>
          <w:lang w:val="pt-BR"/>
        </w:rPr>
        <w:t>10 – Tributação da renda e patrimônio</w:t>
      </w:r>
    </w:p>
    <w:p w:rsidR="00C541AA" w:rsidRDefault="00C541AA" w:rsidP="00336F1E">
      <w:pPr>
        <w:spacing w:after="0"/>
        <w:jc w:val="both"/>
        <w:rPr>
          <w:rFonts w:asciiTheme="minorHAnsi" w:hAnsiTheme="minorHAnsi" w:cstheme="minorHAnsi"/>
          <w:b/>
          <w:bCs/>
          <w:lang w:val="pt-BR"/>
        </w:rPr>
      </w:pPr>
    </w:p>
    <w:p w:rsidR="00C541AA" w:rsidRDefault="00C541AA" w:rsidP="00C541AA">
      <w:pPr>
        <w:pStyle w:val="PargrafodaLista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lang w:val="pt-BR"/>
        </w:rPr>
      </w:pPr>
      <w:r w:rsidRPr="00E51A38">
        <w:rPr>
          <w:rFonts w:asciiTheme="minorHAnsi" w:hAnsiTheme="minorHAnsi" w:cstheme="minorHAnsi"/>
          <w:b/>
          <w:bCs/>
          <w:lang w:val="pt-BR"/>
        </w:rPr>
        <w:t>IPVA</w:t>
      </w:r>
      <w:r>
        <w:rPr>
          <w:rFonts w:asciiTheme="minorHAnsi" w:hAnsiTheme="minorHAnsi" w:cstheme="minorHAnsi"/>
          <w:lang w:val="pt-BR"/>
        </w:rPr>
        <w:t>: autorização para sua incidência sobre veículos aquáticos e aéreos. Também é sugerida a sua incidência progressiva, em razão do impacto ambiental do veículo.</w:t>
      </w:r>
    </w:p>
    <w:p w:rsidR="00E51A38" w:rsidRDefault="00E51A38" w:rsidP="00E51A38">
      <w:pPr>
        <w:pStyle w:val="PargrafodaLista"/>
        <w:spacing w:after="0"/>
        <w:jc w:val="both"/>
        <w:rPr>
          <w:rFonts w:asciiTheme="minorHAnsi" w:hAnsiTheme="minorHAnsi" w:cstheme="minorHAnsi"/>
          <w:lang w:val="pt-BR"/>
        </w:rPr>
      </w:pPr>
    </w:p>
    <w:p w:rsidR="00C541AA" w:rsidRDefault="00C541AA" w:rsidP="00C541AA">
      <w:pPr>
        <w:pStyle w:val="PargrafodaLista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lang w:val="pt-BR"/>
        </w:rPr>
      </w:pPr>
      <w:r w:rsidRPr="00E51A38">
        <w:rPr>
          <w:rFonts w:asciiTheme="minorHAnsi" w:hAnsiTheme="minorHAnsi" w:cstheme="minorHAnsi"/>
          <w:b/>
          <w:bCs/>
          <w:lang w:val="pt-BR"/>
        </w:rPr>
        <w:t>ITCMD</w:t>
      </w:r>
      <w:r>
        <w:rPr>
          <w:rFonts w:asciiTheme="minorHAnsi" w:hAnsiTheme="minorHAnsi" w:cstheme="minorHAnsi"/>
          <w:lang w:val="pt-BR"/>
        </w:rPr>
        <w:t>: estabelecimento de progressividade em relação ao valor da transmissão</w:t>
      </w:r>
      <w:r w:rsidR="00E51A38">
        <w:rPr>
          <w:rFonts w:asciiTheme="minorHAnsi" w:hAnsiTheme="minorHAnsi" w:cstheme="minorHAnsi"/>
          <w:lang w:val="pt-BR"/>
        </w:rPr>
        <w:t>;</w:t>
      </w:r>
    </w:p>
    <w:p w:rsidR="00E51A38" w:rsidRPr="00E51A38" w:rsidRDefault="00E51A38" w:rsidP="00E51A38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E51A38" w:rsidRDefault="00E51A38" w:rsidP="00C541AA">
      <w:pPr>
        <w:pStyle w:val="PargrafodaLista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lang w:val="pt-BR"/>
        </w:rPr>
      </w:pPr>
      <w:r w:rsidRPr="00E51A38">
        <w:rPr>
          <w:rFonts w:asciiTheme="minorHAnsi" w:hAnsiTheme="minorHAnsi" w:cstheme="minorHAnsi"/>
          <w:b/>
          <w:bCs/>
          <w:lang w:val="pt-BR"/>
        </w:rPr>
        <w:t>IPTU</w:t>
      </w:r>
      <w:r>
        <w:rPr>
          <w:rFonts w:asciiTheme="minorHAnsi" w:hAnsiTheme="minorHAnsi" w:cstheme="minorHAnsi"/>
          <w:lang w:val="pt-BR"/>
        </w:rPr>
        <w:t>: autorização para atualização do valor via decreto.</w:t>
      </w:r>
    </w:p>
    <w:p w:rsidR="00E51A38" w:rsidRPr="00C541AA" w:rsidRDefault="00E51A38" w:rsidP="00E51A38">
      <w:pPr>
        <w:pStyle w:val="PargrafodaLista"/>
        <w:spacing w:after="0"/>
        <w:jc w:val="both"/>
        <w:rPr>
          <w:rFonts w:asciiTheme="minorHAnsi" w:hAnsiTheme="minorHAnsi" w:cstheme="minorHAnsi"/>
          <w:lang w:val="pt-BR"/>
        </w:rPr>
      </w:pPr>
    </w:p>
    <w:p w:rsidR="00336F1E" w:rsidRDefault="00336F1E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336F1E" w:rsidRPr="00A52AFB" w:rsidRDefault="00336F1E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A52AFB" w:rsidRPr="00A52AFB" w:rsidRDefault="00A52AFB" w:rsidP="00A52AFB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502F65" w:rsidRDefault="00502F65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p w:rsidR="00502F65" w:rsidRPr="00502F65" w:rsidRDefault="00502F65" w:rsidP="00D73599">
      <w:pPr>
        <w:spacing w:after="0"/>
        <w:jc w:val="both"/>
        <w:rPr>
          <w:rFonts w:asciiTheme="minorHAnsi" w:hAnsiTheme="minorHAnsi" w:cstheme="minorHAnsi"/>
          <w:lang w:val="pt-BR"/>
        </w:rPr>
      </w:pPr>
    </w:p>
    <w:sectPr w:rsidR="00502F65" w:rsidRPr="00502F65" w:rsidSect="00B04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126" w:right="1552" w:bottom="1985" w:left="1701" w:header="709" w:footer="4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7E97" w:rsidRDefault="007E7E97" w:rsidP="002301E8">
      <w:pPr>
        <w:spacing w:after="0"/>
      </w:pPr>
      <w:r>
        <w:separator/>
      </w:r>
    </w:p>
  </w:endnote>
  <w:endnote w:type="continuationSeparator" w:id="0">
    <w:p w:rsidR="007E7E97" w:rsidRDefault="007E7E97" w:rsidP="002301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24B" w:rsidRDefault="002B77F6" w:rsidP="00797F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A424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424B" w:rsidRDefault="004A424B" w:rsidP="00797F8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24B" w:rsidRPr="000E44E9" w:rsidRDefault="002B77F6" w:rsidP="00DE788B">
    <w:pPr>
      <w:pStyle w:val="Rodap"/>
      <w:framePr w:w="466" w:wrap="around" w:vAnchor="page" w:hAnchor="page" w:x="10966" w:y="16274"/>
      <w:jc w:val="right"/>
      <w:rPr>
        <w:rStyle w:val="Nmerodepgina"/>
        <w:rFonts w:ascii="Arial" w:hAnsi="Arial"/>
        <w:sz w:val="18"/>
      </w:rPr>
    </w:pPr>
    <w:r w:rsidRPr="000E44E9">
      <w:rPr>
        <w:rStyle w:val="Nmerodepgina"/>
        <w:rFonts w:ascii="Arial" w:hAnsi="Arial"/>
        <w:sz w:val="18"/>
      </w:rPr>
      <w:fldChar w:fldCharType="begin"/>
    </w:r>
    <w:r w:rsidR="004A424B" w:rsidRPr="000E44E9">
      <w:rPr>
        <w:rStyle w:val="Nmerodepgina"/>
        <w:rFonts w:ascii="Arial" w:hAnsi="Arial"/>
        <w:sz w:val="18"/>
      </w:rPr>
      <w:instrText xml:space="preserve">PAGE  </w:instrText>
    </w:r>
    <w:r w:rsidRPr="000E44E9">
      <w:rPr>
        <w:rStyle w:val="Nmerodepgina"/>
        <w:rFonts w:ascii="Arial" w:hAnsi="Arial"/>
        <w:sz w:val="18"/>
      </w:rPr>
      <w:fldChar w:fldCharType="separate"/>
    </w:r>
    <w:r w:rsidR="006715D6">
      <w:rPr>
        <w:rStyle w:val="Nmerodepgina"/>
        <w:rFonts w:ascii="Arial" w:hAnsi="Arial"/>
        <w:noProof/>
        <w:sz w:val="18"/>
      </w:rPr>
      <w:t>4</w:t>
    </w:r>
    <w:r w:rsidRPr="000E44E9">
      <w:rPr>
        <w:rStyle w:val="Nmerodepgina"/>
        <w:rFonts w:ascii="Arial" w:hAnsi="Arial"/>
        <w:sz w:val="18"/>
      </w:rPr>
      <w:fldChar w:fldCharType="end"/>
    </w:r>
  </w:p>
  <w:p w:rsidR="004A424B" w:rsidRPr="00FE722B" w:rsidRDefault="006715D6" w:rsidP="00A34AAF">
    <w:pPr>
      <w:pStyle w:val="Rodap"/>
      <w:ind w:left="2977" w:right="-1757" w:firstLine="142"/>
    </w:pPr>
    <w:r>
      <w:rPr>
        <w:noProof/>
        <w:lang w:val="pt-BR" w:eastAsia="pt-BR"/>
      </w:rPr>
      <w:drawing>
        <wp:inline distT="0" distB="0" distL="0" distR="0" wp14:anchorId="3E021FF2" wp14:editId="72906EB0">
          <wp:extent cx="1097368" cy="142136"/>
          <wp:effectExtent l="19050" t="0" r="7532" b="0"/>
          <wp:docPr id="55" name="Imagem 4" descr="C:\Users\Rick\Desktop\Word_timbrado\WORD3Ativo 4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ick\Desktop\Word_timbrado\WORD3Ativo 4-1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645" cy="142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FB7" w:rsidRPr="000E44E9" w:rsidRDefault="002B77F6" w:rsidP="00234FB7">
    <w:pPr>
      <w:pStyle w:val="Rodap"/>
      <w:framePr w:w="466" w:wrap="around" w:vAnchor="page" w:hAnchor="page" w:x="10966" w:y="16274"/>
      <w:jc w:val="right"/>
      <w:rPr>
        <w:rStyle w:val="Nmerodepgina"/>
        <w:rFonts w:ascii="Arial" w:hAnsi="Arial"/>
        <w:sz w:val="18"/>
      </w:rPr>
    </w:pPr>
    <w:r w:rsidRPr="000E44E9">
      <w:rPr>
        <w:rStyle w:val="Nmerodepgina"/>
        <w:rFonts w:ascii="Arial" w:hAnsi="Arial"/>
        <w:sz w:val="18"/>
      </w:rPr>
      <w:fldChar w:fldCharType="begin"/>
    </w:r>
    <w:r w:rsidR="00234FB7" w:rsidRPr="000E44E9">
      <w:rPr>
        <w:rStyle w:val="Nmerodepgina"/>
        <w:rFonts w:ascii="Arial" w:hAnsi="Arial"/>
        <w:sz w:val="18"/>
      </w:rPr>
      <w:instrText xml:space="preserve">PAGE  </w:instrText>
    </w:r>
    <w:r w:rsidRPr="000E44E9">
      <w:rPr>
        <w:rStyle w:val="Nmerodepgina"/>
        <w:rFonts w:ascii="Arial" w:hAnsi="Arial"/>
        <w:sz w:val="18"/>
      </w:rPr>
      <w:fldChar w:fldCharType="separate"/>
    </w:r>
    <w:r w:rsidR="006715D6">
      <w:rPr>
        <w:rStyle w:val="Nmerodepgina"/>
        <w:rFonts w:ascii="Arial" w:hAnsi="Arial"/>
        <w:noProof/>
        <w:sz w:val="18"/>
      </w:rPr>
      <w:t>1</w:t>
    </w:r>
    <w:r w:rsidRPr="000E44E9">
      <w:rPr>
        <w:rStyle w:val="Nmerodepgina"/>
        <w:rFonts w:ascii="Arial" w:hAnsi="Arial"/>
        <w:sz w:val="18"/>
      </w:rPr>
      <w:fldChar w:fldCharType="end"/>
    </w:r>
  </w:p>
  <w:p w:rsidR="002F18F2" w:rsidRDefault="00B04E9E" w:rsidP="00B04E9E">
    <w:pPr>
      <w:pStyle w:val="Rodap"/>
      <w:ind w:left="-993" w:firstLine="426"/>
    </w:pPr>
    <w:r>
      <w:rPr>
        <w:noProof/>
      </w:rPr>
      <w:drawing>
        <wp:inline distT="0" distB="0" distL="0" distR="0" wp14:anchorId="33CB15E4" wp14:editId="5B0B7B13">
          <wp:extent cx="6115050" cy="670560"/>
          <wp:effectExtent l="0" t="0" r="0" b="0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7E97" w:rsidRDefault="007E7E97" w:rsidP="002301E8">
      <w:pPr>
        <w:spacing w:after="0"/>
      </w:pPr>
      <w:r>
        <w:separator/>
      </w:r>
    </w:p>
  </w:footnote>
  <w:footnote w:type="continuationSeparator" w:id="0">
    <w:p w:rsidR="007E7E97" w:rsidRDefault="007E7E97" w:rsidP="002301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24B" w:rsidRDefault="005212AC">
    <w:pPr>
      <w:pStyle w:val="Cabealho"/>
    </w:pPr>
    <w:r>
      <w:rPr>
        <w:noProof/>
      </w:rPr>
      <w:pict w14:anchorId="22389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45pt;height:842.05pt;z-index:-251657728;mso-wrap-edited:f;mso-position-horizontal:center;mso-position-horizontal-relative:margin;mso-position-vertical:center;mso-position-vertical-relative:margin" wrapcoords="-27 0 -27 21561 21600 21561 21600 0 -27 0">
          <v:imagedata r:id="rId1" o:title="AF_Timbrado A4 P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15D6" w:rsidRDefault="006A6E5E" w:rsidP="006715D6">
    <w:pPr>
      <w:pStyle w:val="Cabealho"/>
      <w:ind w:firstLine="1560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05945E22" wp14:editId="7BB01716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32370" cy="118728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1872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DAB">
      <w:t xml:space="preserve">             </w:t>
    </w:r>
  </w:p>
  <w:p w:rsidR="004A424B" w:rsidRPr="003E7F81" w:rsidRDefault="0097619D" w:rsidP="00DC3E3A">
    <w:pPr>
      <w:pStyle w:val="Cabealho"/>
      <w:ind w:left="-680" w:right="-1797"/>
    </w:pPr>
    <w:r>
      <w:t xml:space="preserve">            </w:t>
    </w:r>
    <w:r w:rsidR="002152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24B" w:rsidRDefault="006A6E5E" w:rsidP="006A6E5E">
    <w:pPr>
      <w:pStyle w:val="Cabealho"/>
      <w:ind w:hanging="709"/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4553E5C4" wp14:editId="1DB674EB">
          <wp:simplePos x="0" y="0"/>
          <wp:positionH relativeFrom="page">
            <wp:align>left</wp:align>
          </wp:positionH>
          <wp:positionV relativeFrom="paragraph">
            <wp:posOffset>-431692</wp:posOffset>
          </wp:positionV>
          <wp:extent cx="7532370" cy="1187283"/>
          <wp:effectExtent l="0" t="0" r="0" b="0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1872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F85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B08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8664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CAE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1BCD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B29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142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283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ECE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94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CE8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5F1146"/>
    <w:multiLevelType w:val="hybridMultilevel"/>
    <w:tmpl w:val="6616BC68"/>
    <w:lvl w:ilvl="0" w:tplc="C4904138">
      <w:start w:val="10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74988">
    <w:abstractNumId w:val="10"/>
  </w:num>
  <w:num w:numId="2" w16cid:durableId="27605646">
    <w:abstractNumId w:val="8"/>
  </w:num>
  <w:num w:numId="3" w16cid:durableId="123084764">
    <w:abstractNumId w:val="7"/>
  </w:num>
  <w:num w:numId="4" w16cid:durableId="914709400">
    <w:abstractNumId w:val="6"/>
  </w:num>
  <w:num w:numId="5" w16cid:durableId="586814163">
    <w:abstractNumId w:val="5"/>
  </w:num>
  <w:num w:numId="6" w16cid:durableId="1314140097">
    <w:abstractNumId w:val="9"/>
  </w:num>
  <w:num w:numId="7" w16cid:durableId="896277561">
    <w:abstractNumId w:val="4"/>
  </w:num>
  <w:num w:numId="8" w16cid:durableId="750196428">
    <w:abstractNumId w:val="3"/>
  </w:num>
  <w:num w:numId="9" w16cid:durableId="1660377644">
    <w:abstractNumId w:val="2"/>
  </w:num>
  <w:num w:numId="10" w16cid:durableId="421801064">
    <w:abstractNumId w:val="1"/>
  </w:num>
  <w:num w:numId="11" w16cid:durableId="835220136">
    <w:abstractNumId w:val="0"/>
  </w:num>
  <w:num w:numId="12" w16cid:durableId="904223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97"/>
    <w:rsid w:val="00006603"/>
    <w:rsid w:val="000119A7"/>
    <w:rsid w:val="00057C95"/>
    <w:rsid w:val="00060E11"/>
    <w:rsid w:val="000622A8"/>
    <w:rsid w:val="0006636D"/>
    <w:rsid w:val="000753A9"/>
    <w:rsid w:val="000876F6"/>
    <w:rsid w:val="000A0C50"/>
    <w:rsid w:val="000A21B3"/>
    <w:rsid w:val="000A4827"/>
    <w:rsid w:val="000D7976"/>
    <w:rsid w:val="000E44E9"/>
    <w:rsid w:val="000F1C9C"/>
    <w:rsid w:val="000F6996"/>
    <w:rsid w:val="001218B6"/>
    <w:rsid w:val="00150D46"/>
    <w:rsid w:val="00153FE8"/>
    <w:rsid w:val="0016777B"/>
    <w:rsid w:val="0021526B"/>
    <w:rsid w:val="00226BB5"/>
    <w:rsid w:val="002301E8"/>
    <w:rsid w:val="00234FB7"/>
    <w:rsid w:val="00262A3E"/>
    <w:rsid w:val="0026755E"/>
    <w:rsid w:val="00285916"/>
    <w:rsid w:val="002B77F6"/>
    <w:rsid w:val="002C31A5"/>
    <w:rsid w:val="002D51CF"/>
    <w:rsid w:val="002F18F2"/>
    <w:rsid w:val="00336F1E"/>
    <w:rsid w:val="003435A3"/>
    <w:rsid w:val="003443B8"/>
    <w:rsid w:val="00344A2D"/>
    <w:rsid w:val="003A2464"/>
    <w:rsid w:val="003C00D6"/>
    <w:rsid w:val="003E7F81"/>
    <w:rsid w:val="003F0511"/>
    <w:rsid w:val="00417753"/>
    <w:rsid w:val="004328A2"/>
    <w:rsid w:val="00474D1B"/>
    <w:rsid w:val="00484E2E"/>
    <w:rsid w:val="00490D06"/>
    <w:rsid w:val="004A3C7B"/>
    <w:rsid w:val="004A424B"/>
    <w:rsid w:val="004C5399"/>
    <w:rsid w:val="00502F65"/>
    <w:rsid w:val="005212AC"/>
    <w:rsid w:val="00557D1F"/>
    <w:rsid w:val="00562701"/>
    <w:rsid w:val="00565810"/>
    <w:rsid w:val="0058751F"/>
    <w:rsid w:val="005D48FA"/>
    <w:rsid w:val="00626D48"/>
    <w:rsid w:val="00630A57"/>
    <w:rsid w:val="006459C0"/>
    <w:rsid w:val="006715D6"/>
    <w:rsid w:val="00671640"/>
    <w:rsid w:val="00693BE4"/>
    <w:rsid w:val="006A6E5E"/>
    <w:rsid w:val="00727E5D"/>
    <w:rsid w:val="00745982"/>
    <w:rsid w:val="00765817"/>
    <w:rsid w:val="00797F83"/>
    <w:rsid w:val="007A06A1"/>
    <w:rsid w:val="007E7E97"/>
    <w:rsid w:val="00827725"/>
    <w:rsid w:val="008416D1"/>
    <w:rsid w:val="00886DE9"/>
    <w:rsid w:val="008A190E"/>
    <w:rsid w:val="008E3558"/>
    <w:rsid w:val="008E781E"/>
    <w:rsid w:val="009212DD"/>
    <w:rsid w:val="00956E6D"/>
    <w:rsid w:val="0097619D"/>
    <w:rsid w:val="00977400"/>
    <w:rsid w:val="00983465"/>
    <w:rsid w:val="0099635B"/>
    <w:rsid w:val="00A17D5B"/>
    <w:rsid w:val="00A34AAF"/>
    <w:rsid w:val="00A363C5"/>
    <w:rsid w:val="00A406F0"/>
    <w:rsid w:val="00A512A1"/>
    <w:rsid w:val="00A52AFB"/>
    <w:rsid w:val="00AA699D"/>
    <w:rsid w:val="00B04E9E"/>
    <w:rsid w:val="00B120ED"/>
    <w:rsid w:val="00B26BF1"/>
    <w:rsid w:val="00B53D6B"/>
    <w:rsid w:val="00B573CE"/>
    <w:rsid w:val="00B91119"/>
    <w:rsid w:val="00B95E1B"/>
    <w:rsid w:val="00BE30D9"/>
    <w:rsid w:val="00BF56ED"/>
    <w:rsid w:val="00C12D5D"/>
    <w:rsid w:val="00C27DAB"/>
    <w:rsid w:val="00C541AA"/>
    <w:rsid w:val="00C70958"/>
    <w:rsid w:val="00C76039"/>
    <w:rsid w:val="00CA0542"/>
    <w:rsid w:val="00CD2231"/>
    <w:rsid w:val="00D055A3"/>
    <w:rsid w:val="00D23F4C"/>
    <w:rsid w:val="00D27039"/>
    <w:rsid w:val="00D73599"/>
    <w:rsid w:val="00D900FB"/>
    <w:rsid w:val="00D95696"/>
    <w:rsid w:val="00DC3E3A"/>
    <w:rsid w:val="00DD2DE5"/>
    <w:rsid w:val="00DE0548"/>
    <w:rsid w:val="00DE788B"/>
    <w:rsid w:val="00E1301F"/>
    <w:rsid w:val="00E14995"/>
    <w:rsid w:val="00E51A38"/>
    <w:rsid w:val="00E653F9"/>
    <w:rsid w:val="00E736BE"/>
    <w:rsid w:val="00E75006"/>
    <w:rsid w:val="00E83E9E"/>
    <w:rsid w:val="00E8774B"/>
    <w:rsid w:val="00E921B5"/>
    <w:rsid w:val="00EC70CB"/>
    <w:rsid w:val="00F26801"/>
    <w:rsid w:val="00F33FD7"/>
    <w:rsid w:val="00F41B54"/>
    <w:rsid w:val="00F75D38"/>
    <w:rsid w:val="00FE46D5"/>
    <w:rsid w:val="00FE722B"/>
    <w:rsid w:val="00FF3D97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C0E7"/>
  <w15:chartTrackingRefBased/>
  <w15:docId w15:val="{4E2F9FBA-0B57-4FD0-AE42-8498AF6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A61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56ED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56ED"/>
  </w:style>
  <w:style w:type="paragraph" w:styleId="Rodap">
    <w:name w:val="footer"/>
    <w:basedOn w:val="Normal"/>
    <w:link w:val="RodapChar"/>
    <w:uiPriority w:val="99"/>
    <w:unhideWhenUsed/>
    <w:rsid w:val="00BF56ED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F56ED"/>
  </w:style>
  <w:style w:type="character" w:styleId="Nmerodepgina">
    <w:name w:val="page number"/>
    <w:basedOn w:val="Fontepargpadro"/>
    <w:uiPriority w:val="99"/>
    <w:semiHidden/>
    <w:unhideWhenUsed/>
    <w:rsid w:val="00797F83"/>
  </w:style>
  <w:style w:type="paragraph" w:styleId="Textodebalo">
    <w:name w:val="Balloon Text"/>
    <w:basedOn w:val="Normal"/>
    <w:link w:val="TextodebaloChar"/>
    <w:uiPriority w:val="99"/>
    <w:semiHidden/>
    <w:unhideWhenUsed/>
    <w:rsid w:val="00A36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3C5"/>
    <w:rPr>
      <w:rFonts w:ascii="Segoe UI" w:hAnsi="Segoe UI" w:cs="Segoe UI"/>
      <w:sz w:val="18"/>
      <w:szCs w:val="18"/>
      <w:lang w:val="en-US" w:eastAsia="en-US"/>
    </w:rPr>
  </w:style>
  <w:style w:type="paragraph" w:styleId="PargrafodaLista">
    <w:name w:val="List Paragraph"/>
    <w:basedOn w:val="Normal"/>
    <w:uiPriority w:val="34"/>
    <w:qFormat/>
    <w:rsid w:val="00C5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Eugênio Barreto Moreira</dc:creator>
  <cp:keywords/>
  <dc:description/>
  <cp:lastModifiedBy>Gabriel Eugênio Barreto Moreira</cp:lastModifiedBy>
  <cp:revision>5</cp:revision>
  <cp:lastPrinted>2020-02-13T15:57:00Z</cp:lastPrinted>
  <dcterms:created xsi:type="dcterms:W3CDTF">2023-06-08T03:22:00Z</dcterms:created>
  <dcterms:modified xsi:type="dcterms:W3CDTF">2023-06-08T15:28:00Z</dcterms:modified>
</cp:coreProperties>
</file>